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ind w:left="2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Лабораторн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робота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ind w:left="2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Визначення коефіцієнта лінійного розширення твердого тіла</w:t>
      </w:r>
    </w:p>
    <w:p w:rsidR="00000000" w:rsidDel="00000000" w:rsidP="00000000" w:rsidRDefault="00000000" w:rsidRPr="00000000" w14:paraId="00000003">
      <w:pPr>
        <w:shd w:fill="ffffff" w:val="clear"/>
        <w:spacing w:after="0" w:before="360" w:line="24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постерігати явище теплового розширення твердих тіл, рідин і газів.</w:t>
        <w:br w:type="textWrapping"/>
        <w:t xml:space="preserve">Визначити, як температура впливає на об’єм різних тіл.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Навчитися безпечно проводити експерименти з нагріванням і охолодженням речовин.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ознайомитися з одним із методів визначення коефіцієнту лінійного розширення твердого тіла.</w:t>
      </w:r>
    </w:p>
    <w:p w:rsidR="00000000" w:rsidDel="00000000" w:rsidP="00000000" w:rsidRDefault="00000000" w:rsidRPr="00000000" w14:paraId="00000004">
      <w:pPr>
        <w:shd w:fill="ffffff" w:val="clear"/>
        <w:spacing w:after="0" w:before="259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лінійка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колба з водою, металевий стержен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електрична плитка, гумова трубка, метр, термометр, штатив лабораторний.</w:t>
      </w:r>
    </w:p>
    <w:p w:rsidR="00000000" w:rsidDel="00000000" w:rsidP="00000000" w:rsidRDefault="00000000" w:rsidRPr="00000000" w14:paraId="00000005">
      <w:pPr>
        <w:shd w:fill="ffffff" w:val="clear"/>
        <w:spacing w:after="0" w:before="216" w:line="240" w:lineRule="auto"/>
        <w:ind w:left="24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Хід роботи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ind w:firstLine="2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Усі предмети при нагріванні змінюють свої розміри і, як правило,  розширюються. Для різних предметів це розширення різне, а потому для його визначення уводиться так званий коефіцієнт лінійного розширення. Коефіцієнт лінійного розширення визначається відношенням:</w:t>
      </w:r>
    </w:p>
    <w:p w:rsidR="00000000" w:rsidDel="00000000" w:rsidP="00000000" w:rsidRDefault="00000000" w:rsidRPr="00000000" w14:paraId="00000007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α=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l-</m:t>
            </m:r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l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0</m:t>
                </m:r>
              </m:sub>
            </m:sSub>
          </m:num>
          <m:den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l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0</m:t>
                </m:r>
              </m:sub>
            </m:s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∙∆t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vertAlign w:val="subscript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довжина стержня при 0°С.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- довжина стержня при температурі t.</w:t>
      </w:r>
    </w:p>
    <w:p w:rsidR="00000000" w:rsidDel="00000000" w:rsidP="00000000" w:rsidRDefault="00000000" w:rsidRPr="00000000" w14:paraId="0000000A">
      <w:pPr>
        <w:shd w:fill="ffffff" w:val="clear"/>
        <w:spacing w:after="0" w:before="1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t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– температура, до якої нагріли.</w:t>
      </w:r>
    </w:p>
    <w:p w:rsidR="00000000" w:rsidDel="00000000" w:rsidP="00000000" w:rsidRDefault="00000000" w:rsidRPr="00000000" w14:paraId="0000000B">
      <w:pPr>
        <w:shd w:fill="ffffff" w:val="clear"/>
        <w:spacing w:after="0" w:before="1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практиці коефіцієнт лінійного розширення визначають за приблизною формулою в котрій замість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беруть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(довжина стержня при кімнатній температурі) і </w:t>
      </w: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∆t=t-</m:t>
        </m:r>
        <m:sSub>
          <m:sSub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t</m:t>
            </m:r>
          </m:e>
          <m: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1</m:t>
            </m:r>
          </m:sub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Неточність, яка з'являється при цьому обчисленні настільки маленька, що нею можна знехтувати. Вона зумовлена тим, що подовження всього стержня при нагріванні на 1°С відноситься не до одинці довжини при 0°С, а до одинці довжини при кімнатній температурі.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7.0" w:type="dxa"/>
        <w:jc w:val="left"/>
        <w:tblInd w:w="-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9"/>
        <w:gridCol w:w="873"/>
        <w:gridCol w:w="992"/>
        <w:gridCol w:w="992"/>
        <w:gridCol w:w="1276"/>
        <w:gridCol w:w="992"/>
        <w:gridCol w:w="1418"/>
        <w:gridCol w:w="2375"/>
        <w:tblGridChange w:id="0">
          <w:tblGrid>
            <w:gridCol w:w="629"/>
            <w:gridCol w:w="873"/>
            <w:gridCol w:w="992"/>
            <w:gridCol w:w="992"/>
            <w:gridCol w:w="1276"/>
            <w:gridCol w:w="992"/>
            <w:gridCol w:w="1418"/>
            <w:gridCol w:w="2375"/>
          </w:tblGrid>
        </w:tblGridChange>
      </w:tblGrid>
      <w:tr>
        <w:trPr>
          <w:cantSplit w:val="0"/>
          <w:trHeight w:val="113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t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1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,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о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t</m:t>
                      </m:r>
                    </m:e>
                    <m:sub>
                      <m:r>
                        <w:rPr>
                          <w:rFonts w:ascii="Cambria Math" w:cs="Cambria Math" w:eastAsia="Cambria Math" w:hAnsi="Cambria Math"/>
                          <w:color w:val="000000"/>
                          <w:sz w:val="28"/>
                          <w:szCs w:val="28"/>
                        </w:rPr>
                        <m:t xml:space="preserve">2</m:t>
                      </m:r>
                    </m:sub>
                  </m:sSub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,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о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l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, м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 xml:space="preserve">∆l, мм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w:pPr>
            <m:oMath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 xml:space="preserve">α,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К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Матеріал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Табличне значення </w:t>
            </w:r>
            <m:oMath>
              <m:r>
                <w:rPr>
                  <w:rFonts w:ascii="Cambria Math" w:cs="Cambria Math" w:eastAsia="Cambria Math" w:hAnsi="Cambria Math"/>
                  <w:color w:val="000000"/>
                  <w:sz w:val="28"/>
                  <w:szCs w:val="28"/>
                </w:rPr>
                <m:t xml:space="preserve">α,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000000"/>
                      <w:sz w:val="28"/>
                      <w:szCs w:val="28"/>
                    </w:rPr>
                    <m:t xml:space="preserve">К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21" w:before="22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α=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∆l</m:t>
            </m:r>
          </m:num>
          <m:den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l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0</m:t>
                </m:r>
              </m:sub>
            </m:s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∙∆t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21" w:before="226" w:line="24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Визначити відносну та абсолютну похибку вимірів, порівнявши з табличним значенням.</w:t>
      </w:r>
    </w:p>
    <w:p w:rsidR="00000000" w:rsidDel="00000000" w:rsidP="00000000" w:rsidRDefault="00000000" w:rsidRPr="00000000" w14:paraId="0000002A">
      <w:pPr>
        <w:shd w:fill="ffffff" w:val="clear"/>
        <w:spacing w:after="221" w:before="226" w:line="24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Абсолютна похибка:</w:t>
      </w:r>
    </w:p>
    <w:p w:rsidR="00000000" w:rsidDel="00000000" w:rsidP="00000000" w:rsidRDefault="00000000" w:rsidRPr="00000000" w14:paraId="0000002B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∆</m:t>
        </m:r>
        <m:sSub>
          <m:sSub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l</m:t>
            </m:r>
          </m:e>
          <m:sub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абс</m:t>
            </m:r>
          </m:sub>
        </m:sSub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=</m:t>
        </m:r>
        <m:d>
          <m:dPr>
            <m:begChr m:val="|"/>
            <m:endChr m:val="|"/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α-</m:t>
            </m:r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табл</m:t>
                </m:r>
              </m:sub>
            </m:sSub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21" w:before="226" w:line="240" w:lineRule="auto"/>
        <w:ind w:left="24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Відносна похибка:</w:t>
      </w:r>
    </w:p>
    <w:p w:rsidR="00000000" w:rsidDel="00000000" w:rsidP="00000000" w:rsidRDefault="00000000" w:rsidRPr="00000000" w14:paraId="0000002D">
      <w:pPr>
        <w:jc w:val="center"/>
        <w:rPr>
          <w:rFonts w:ascii="Cambria Math" w:cs="Cambria Math" w:eastAsia="Cambria Math" w:hAnsi="Cambria Math"/>
          <w:color w:val="000000"/>
          <w:sz w:val="28"/>
          <w:szCs w:val="28"/>
        </w:rPr>
      </w:pPr>
      <m:oMath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ε=</m:t>
        </m:r>
        <m:f>
          <m:fPr>
            <m:ctrlP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28"/>
                <w:szCs w:val="28"/>
              </w:rPr>
              <m:t xml:space="preserve">∆</m:t>
            </m:r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l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абс</m:t>
                </m:r>
              </m:sub>
            </m:sSub>
          </m:num>
          <m:den>
            <m:sSub>
              <m:sSubPr>
                <m:ctrlP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cs="Cambria Math" w:eastAsia="Cambria Math" w:hAnsi="Cambria Math"/>
                    <w:color w:val="000000"/>
                    <w:sz w:val="28"/>
                    <w:szCs w:val="28"/>
                  </w:rPr>
                  <m:t xml:space="preserve">табл</m:t>
                </m:r>
              </m:sub>
            </m:sSub>
          </m:den>
        </m:f>
        <m:r>
          <w:rPr>
            <w:rFonts w:ascii="Cambria Math" w:cs="Cambria Math" w:eastAsia="Cambria Math" w:hAnsi="Cambria Math"/>
            <w:color w:val="000000"/>
            <w:sz w:val="28"/>
            <w:szCs w:val="28"/>
          </w:rPr>
          <m:t xml:space="preserve">∙100%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Додаткове завдання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Улітку за температури 30°С залізний дріт між двома стовпами лінії електропередач має довжину 50м. Як зміниться його довжина взимку, коли температура повітря становить -20°С?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hnph3cs8n7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Висновок: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сформулюйте висновок, у якому укажіть 1) яку величину ви вимірювали; 2) які похибки та неточності експерименту були наявні.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F04B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CF04B4"/>
    <w:rPr>
      <w:rFonts w:ascii="Tahoma" w:cs="Tahoma" w:hAnsi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 w:val="1"/>
    <w:rsid w:val="00CF04B4"/>
    <w:rPr>
      <w:color w:val="808080"/>
    </w:rPr>
  </w:style>
  <w:style w:type="paragraph" w:styleId="a6">
    <w:name w:val="List Paragraph"/>
    <w:basedOn w:val="a"/>
    <w:uiPriority w:val="34"/>
    <w:qFormat w:val="1"/>
    <w:rsid w:val="009860DB"/>
    <w:pPr>
      <w:ind w:left="720"/>
      <w:contextualSpacing w:val="1"/>
    </w:pPr>
  </w:style>
  <w:style w:type="table" w:styleId="a7">
    <w:name w:val="Table Grid"/>
    <w:basedOn w:val="a1"/>
    <w:uiPriority w:val="59"/>
    <w:rsid w:val="009860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Sjm6Gp+OfHlx/MHbXwaeN9yHNQ==">CgMxLjAyDWguaG5waDNjczhuN2c4AHIhMVJkZU9Hb2JBbXdwMkxMYzBhQzZlVjhFS2JsR3Q3QW1P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2022-05-11T07:18:00Z</dcterms:created>
  <dc:creator>User</dc:creator>
</cp:coreProperties>
</file>